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7B48" w14:textId="77777777" w:rsidR="00025AB4" w:rsidRPr="0069133F" w:rsidRDefault="00025AB4" w:rsidP="00025AB4">
      <w:pPr>
        <w:pageBreakBefore/>
        <w:jc w:val="center"/>
        <w:rPr>
          <w:rFonts w:cs="Times New Roman"/>
          <w:b/>
        </w:rPr>
      </w:pPr>
      <w:r>
        <w:rPr>
          <w:rStyle w:val="FootnoteReference"/>
          <w:rFonts w:cs="Times New Roman"/>
          <w:b/>
        </w:rPr>
        <w:footnoteReference w:id="1"/>
      </w:r>
      <w:r>
        <w:rPr>
          <w:rFonts w:cs="Times New Roman"/>
          <w:b/>
        </w:rPr>
        <w:t>US Dollar</w:t>
      </w:r>
      <w:r w:rsidRPr="0069133F">
        <w:rPr>
          <w:rFonts w:cs="Times New Roman"/>
          <w:b/>
        </w:rPr>
        <w:t xml:space="preserve"> Currency Schedule</w:t>
      </w:r>
    </w:p>
    <w:p w14:paraId="1B276954" w14:textId="77777777" w:rsidR="00025AB4" w:rsidRDefault="00025AB4" w:rsidP="00025AB4">
      <w:pPr>
        <w:rPr>
          <w:rFonts w:cs="Times New Roman"/>
        </w:rPr>
      </w:pPr>
    </w:p>
    <w:p w14:paraId="52006BC5" w14:textId="77777777" w:rsidR="00025AB4" w:rsidRDefault="00025AB4" w:rsidP="00025AB4">
      <w:pPr>
        <w:rPr>
          <w:rFonts w:cs="Times New Roman"/>
        </w:rPr>
      </w:pPr>
      <w:r w:rsidRPr="0069133F">
        <w:rPr>
          <w:rFonts w:cs="Times New Roman"/>
        </w:rPr>
        <w:t xml:space="preserve">This is the </w:t>
      </w:r>
      <w:r w:rsidRPr="004769E9">
        <w:rPr>
          <w:rFonts w:cs="Times New Roman"/>
          <w:b/>
        </w:rPr>
        <w:t>US Dollar Currency Schedule</w:t>
      </w:r>
      <w:r w:rsidRPr="0069133F">
        <w:rPr>
          <w:rFonts w:cs="Times New Roman"/>
        </w:rPr>
        <w:t xml:space="preserve"> referred to in </w:t>
      </w:r>
      <w:r>
        <w:rPr>
          <w:rFonts w:cs="Times New Roman"/>
        </w:rPr>
        <w:t>the</w:t>
      </w:r>
      <w:r w:rsidRPr="0069133F">
        <w:rPr>
          <w:rFonts w:cs="Times New Roman"/>
        </w:rPr>
        <w:t xml:space="preserve"> Agreement between the Customer</w:t>
      </w:r>
      <w:r w:rsidRPr="00CA32DB">
        <w:rPr>
          <w:rFonts w:cs="Times New Roman"/>
          <w:color w:val="FFFFFF"/>
          <w:highlight w:val="black"/>
        </w:rPr>
        <w:t>[, the Parent]</w:t>
      </w:r>
      <w:r>
        <w:rPr>
          <w:rFonts w:cs="Times New Roman"/>
        </w:rPr>
        <w:t xml:space="preserve"> </w:t>
      </w:r>
      <w:r w:rsidRPr="0069133F">
        <w:rPr>
          <w:rFonts w:cs="Times New Roman"/>
        </w:rPr>
        <w:t xml:space="preserve"> and </w:t>
      </w:r>
      <w:r>
        <w:rPr>
          <w:rFonts w:cs="Times New Roman"/>
        </w:rPr>
        <w:t>the Bank</w:t>
      </w:r>
    </w:p>
    <w:p w14:paraId="75333D81" w14:textId="77777777" w:rsidR="00025AB4" w:rsidRDefault="00025AB4" w:rsidP="00025AB4">
      <w:pPr>
        <w:rPr>
          <w:rFonts w:cs="Times New Roman"/>
        </w:rPr>
      </w:pPr>
    </w:p>
    <w:tbl>
      <w:tblPr>
        <w:tblW w:w="0" w:type="auto"/>
        <w:tblInd w:w="817" w:type="dxa"/>
        <w:tblLook w:val="04A0" w:firstRow="1" w:lastRow="0" w:firstColumn="1" w:lastColumn="0" w:noHBand="0" w:noVBand="1"/>
      </w:tblPr>
      <w:tblGrid>
        <w:gridCol w:w="2410"/>
        <w:gridCol w:w="5494"/>
      </w:tblGrid>
      <w:tr w:rsidR="00025AB4" w:rsidRPr="001E6E87" w14:paraId="5118B0F0" w14:textId="77777777" w:rsidTr="007651B8">
        <w:tc>
          <w:tcPr>
            <w:tcW w:w="2410" w:type="dxa"/>
            <w:shd w:val="clear" w:color="auto" w:fill="auto"/>
          </w:tcPr>
          <w:p w14:paraId="49CB6F01" w14:textId="77777777" w:rsidR="00025AB4" w:rsidRPr="007E4C66" w:rsidRDefault="00025AB4" w:rsidP="007651B8">
            <w:pPr>
              <w:pStyle w:val="Body"/>
              <w:jc w:val="left"/>
              <w:rPr>
                <w:b/>
              </w:rPr>
            </w:pPr>
            <w:r w:rsidRPr="007E4C66">
              <w:rPr>
                <w:b/>
              </w:rPr>
              <w:t>Observation Period</w:t>
            </w:r>
            <w:r w:rsidRPr="007E4C66">
              <w:t>:</w:t>
            </w:r>
          </w:p>
        </w:tc>
        <w:tc>
          <w:tcPr>
            <w:tcW w:w="5494" w:type="dxa"/>
            <w:shd w:val="clear" w:color="auto" w:fill="auto"/>
          </w:tcPr>
          <w:p w14:paraId="1C6E5DFF" w14:textId="77777777" w:rsidR="00025AB4" w:rsidRPr="007E4C66" w:rsidRDefault="00025AB4" w:rsidP="007651B8">
            <w:pPr>
              <w:pStyle w:val="Body"/>
            </w:pPr>
            <w:r w:rsidRPr="007E4C66">
              <w:t xml:space="preserve">The period from and including the date falling five US Banking Days prior to the first day of the relevant Interest Period and ending on but excluding the date falling five US Banking Days prior to the last day of that Interest Period. </w:t>
            </w:r>
          </w:p>
        </w:tc>
      </w:tr>
      <w:tr w:rsidR="00025AB4" w:rsidRPr="001E6E87" w14:paraId="54D94D49" w14:textId="77777777" w:rsidTr="007651B8">
        <w:tc>
          <w:tcPr>
            <w:tcW w:w="2410" w:type="dxa"/>
            <w:shd w:val="clear" w:color="auto" w:fill="auto"/>
          </w:tcPr>
          <w:p w14:paraId="3B48D4F5" w14:textId="77777777" w:rsidR="00025AB4" w:rsidRPr="002919E4" w:rsidRDefault="00025AB4" w:rsidP="007651B8">
            <w:pPr>
              <w:pStyle w:val="Body"/>
              <w:jc w:val="left"/>
              <w:rPr>
                <w:b/>
              </w:rPr>
            </w:pPr>
            <w:r w:rsidRPr="002919E4">
              <w:rPr>
                <w:b/>
              </w:rPr>
              <w:t>SOFR</w:t>
            </w:r>
            <w:r w:rsidRPr="002919E4">
              <w:t>:</w:t>
            </w:r>
          </w:p>
        </w:tc>
        <w:tc>
          <w:tcPr>
            <w:tcW w:w="5494" w:type="dxa"/>
            <w:shd w:val="clear" w:color="auto" w:fill="auto"/>
          </w:tcPr>
          <w:p w14:paraId="741E98D0" w14:textId="77777777" w:rsidR="00025AB4" w:rsidRPr="002919E4" w:rsidRDefault="00025AB4" w:rsidP="007651B8">
            <w:pPr>
              <w:pStyle w:val="Level1"/>
              <w:numPr>
                <w:ilvl w:val="0"/>
                <w:numId w:val="0"/>
              </w:numPr>
            </w:pPr>
            <w:r w:rsidRPr="002919E4">
              <w:t>The secured overnight financing rate.</w:t>
            </w:r>
          </w:p>
        </w:tc>
      </w:tr>
      <w:tr w:rsidR="00025AB4" w:rsidRPr="001E6E87" w14:paraId="51E690C4" w14:textId="77777777" w:rsidTr="007651B8">
        <w:tc>
          <w:tcPr>
            <w:tcW w:w="2410" w:type="dxa"/>
            <w:shd w:val="clear" w:color="auto" w:fill="auto"/>
          </w:tcPr>
          <w:p w14:paraId="2F76CEC0" w14:textId="77777777" w:rsidR="00025AB4" w:rsidRPr="007E4C66" w:rsidRDefault="00025AB4" w:rsidP="007651B8">
            <w:pPr>
              <w:pStyle w:val="Body"/>
              <w:jc w:val="left"/>
              <w:rPr>
                <w:b/>
              </w:rPr>
            </w:pPr>
            <w:r w:rsidRPr="007E4C66">
              <w:rPr>
                <w:b/>
              </w:rPr>
              <w:t>US Banking Day</w:t>
            </w:r>
            <w:r w:rsidRPr="007E4C66">
              <w:t>:</w:t>
            </w:r>
          </w:p>
        </w:tc>
        <w:tc>
          <w:tcPr>
            <w:tcW w:w="5494" w:type="dxa"/>
            <w:shd w:val="clear" w:color="auto" w:fill="auto"/>
          </w:tcPr>
          <w:p w14:paraId="7BE65E6F" w14:textId="77777777" w:rsidR="00025AB4" w:rsidRPr="007E4C66" w:rsidRDefault="00025AB4" w:rsidP="007651B8">
            <w:pPr>
              <w:pStyle w:val="Level1"/>
              <w:numPr>
                <w:ilvl w:val="0"/>
                <w:numId w:val="0"/>
              </w:numPr>
            </w:pPr>
            <w:r w:rsidRPr="007E4C66">
              <w:t>Any day other than:</w:t>
            </w:r>
          </w:p>
          <w:p w14:paraId="4FC1BB7D" w14:textId="77777777" w:rsidR="00025AB4" w:rsidRPr="007E4C66" w:rsidRDefault="00025AB4" w:rsidP="007651B8">
            <w:pPr>
              <w:pStyle w:val="Level4"/>
              <w:numPr>
                <w:ilvl w:val="3"/>
                <w:numId w:val="2"/>
              </w:numPr>
              <w:tabs>
                <w:tab w:val="num" w:pos="742"/>
              </w:tabs>
              <w:ind w:left="742" w:hanging="708"/>
            </w:pPr>
            <w:r w:rsidRPr="007E4C66">
              <w:t>a Saturday or Sunday; and</w:t>
            </w:r>
          </w:p>
          <w:p w14:paraId="56428B4B" w14:textId="77777777" w:rsidR="00025AB4" w:rsidRPr="007E4C66" w:rsidRDefault="00025AB4" w:rsidP="007651B8">
            <w:pPr>
              <w:pStyle w:val="Level4"/>
              <w:tabs>
                <w:tab w:val="num" w:pos="742"/>
              </w:tabs>
              <w:ind w:left="742" w:hanging="708"/>
            </w:pPr>
            <w:r w:rsidRPr="007E4C66">
              <w:t>a day on which the Securities Industry and Financial Markets Association (or any successor organisation) recommends that the fixed income departments of its members be closed for the entire day for purposes of trading in US Government securities.</w:t>
            </w:r>
          </w:p>
        </w:tc>
      </w:tr>
      <w:tr w:rsidR="00025AB4" w:rsidRPr="001E6E87" w14:paraId="79D251AB" w14:textId="77777777" w:rsidTr="007651B8">
        <w:tc>
          <w:tcPr>
            <w:tcW w:w="2410" w:type="dxa"/>
            <w:shd w:val="clear" w:color="auto" w:fill="auto"/>
          </w:tcPr>
          <w:p w14:paraId="154C84D9" w14:textId="77777777" w:rsidR="00025AB4" w:rsidRPr="007E6C4C" w:rsidRDefault="00025AB4" w:rsidP="007651B8">
            <w:pPr>
              <w:pStyle w:val="Body"/>
              <w:jc w:val="left"/>
              <w:rPr>
                <w:b/>
              </w:rPr>
            </w:pPr>
            <w:r w:rsidRPr="007E6C4C">
              <w:rPr>
                <w:b/>
              </w:rPr>
              <w:t>US Dollar Central Bank Rate</w:t>
            </w:r>
            <w:r w:rsidRPr="007E6C4C">
              <w:t>:</w:t>
            </w:r>
          </w:p>
        </w:tc>
        <w:tc>
          <w:tcPr>
            <w:tcW w:w="5494" w:type="dxa"/>
            <w:shd w:val="clear" w:color="auto" w:fill="auto"/>
          </w:tcPr>
          <w:p w14:paraId="339143E9" w14:textId="77777777" w:rsidR="00025AB4" w:rsidRPr="007E6C4C" w:rsidRDefault="00025AB4" w:rsidP="007651B8">
            <w:pPr>
              <w:pStyle w:val="Body"/>
            </w:pPr>
            <w:r w:rsidRPr="007E6C4C">
              <w:t>Either:</w:t>
            </w:r>
          </w:p>
          <w:p w14:paraId="66E71BA2" w14:textId="77777777" w:rsidR="00025AB4" w:rsidRPr="007E6C4C" w:rsidRDefault="00025AB4" w:rsidP="00025AB4">
            <w:pPr>
              <w:pStyle w:val="Level4"/>
              <w:numPr>
                <w:ilvl w:val="3"/>
                <w:numId w:val="2"/>
              </w:numPr>
              <w:tabs>
                <w:tab w:val="num" w:pos="742"/>
              </w:tabs>
              <w:ind w:left="742" w:hanging="742"/>
            </w:pPr>
            <w:r w:rsidRPr="007E6C4C">
              <w:t>the short-term interest rate target set by the US Federal Open Market Committee as published by the Federal Reserve Bank of New York from time to time; or</w:t>
            </w:r>
          </w:p>
          <w:p w14:paraId="4B1BF576" w14:textId="77777777" w:rsidR="00025AB4" w:rsidRPr="007E6C4C" w:rsidRDefault="00025AB4" w:rsidP="00025AB4">
            <w:pPr>
              <w:pStyle w:val="Level4"/>
              <w:numPr>
                <w:ilvl w:val="3"/>
                <w:numId w:val="2"/>
              </w:numPr>
              <w:tabs>
                <w:tab w:val="num" w:pos="742"/>
              </w:tabs>
              <w:ind w:left="742" w:hanging="742"/>
            </w:pPr>
            <w:r w:rsidRPr="007E6C4C">
              <w:t>if that target is not a single figure, the arithmetic mean (rounded upwards to five decimal places) of:</w:t>
            </w:r>
          </w:p>
          <w:p w14:paraId="0AA48105" w14:textId="77777777" w:rsidR="00025AB4" w:rsidRPr="007E6C4C" w:rsidRDefault="00025AB4" w:rsidP="007651B8">
            <w:pPr>
              <w:pStyle w:val="Level5"/>
              <w:tabs>
                <w:tab w:val="num" w:pos="1593"/>
              </w:tabs>
              <w:ind w:left="1593"/>
            </w:pPr>
            <w:r w:rsidRPr="007E6C4C">
              <w:t>the upper bound of the short-term interest rate target range set by the US Federal Open Market Committee and published by the Federal Reserve Bank of New York; and</w:t>
            </w:r>
          </w:p>
          <w:p w14:paraId="63F6456D" w14:textId="77777777" w:rsidR="00025AB4" w:rsidRPr="007E6C4C" w:rsidRDefault="00025AB4" w:rsidP="007651B8">
            <w:pPr>
              <w:pStyle w:val="Level5"/>
              <w:tabs>
                <w:tab w:val="num" w:pos="1593"/>
              </w:tabs>
              <w:ind w:left="1593"/>
            </w:pPr>
            <w:r w:rsidRPr="007E6C4C">
              <w:t>the lower bound of that target range.</w:t>
            </w:r>
          </w:p>
        </w:tc>
      </w:tr>
      <w:tr w:rsidR="00025AB4" w:rsidRPr="001E6E87" w14:paraId="67697901" w14:textId="77777777" w:rsidTr="007651B8">
        <w:tc>
          <w:tcPr>
            <w:tcW w:w="2410" w:type="dxa"/>
            <w:shd w:val="clear" w:color="auto" w:fill="auto"/>
          </w:tcPr>
          <w:p w14:paraId="1493FC9E" w14:textId="77777777" w:rsidR="00025AB4" w:rsidRPr="007E6C4C" w:rsidRDefault="00025AB4" w:rsidP="007651B8">
            <w:pPr>
              <w:pStyle w:val="Body"/>
              <w:jc w:val="left"/>
              <w:rPr>
                <w:b/>
              </w:rPr>
            </w:pPr>
            <w:r w:rsidRPr="007E6C4C">
              <w:rPr>
                <w:b/>
              </w:rPr>
              <w:t>US Dollar Fallback Compounded Rate</w:t>
            </w:r>
            <w:r w:rsidRPr="007E6C4C">
              <w:t>:</w:t>
            </w:r>
          </w:p>
        </w:tc>
        <w:tc>
          <w:tcPr>
            <w:tcW w:w="5494" w:type="dxa"/>
            <w:shd w:val="clear" w:color="auto" w:fill="auto"/>
          </w:tcPr>
          <w:p w14:paraId="0C4EF7AB" w14:textId="77777777" w:rsidR="00025AB4" w:rsidRPr="007E6C4C" w:rsidRDefault="00025AB4" w:rsidP="007651B8">
            <w:pPr>
              <w:pStyle w:val="Body"/>
            </w:pPr>
            <w:r w:rsidRPr="007E6C4C">
              <w:t>For the Interest Period of a Loan, the percentage rate per annum (rounded if necessary to the fifth decimal place, with 0.000005 being rounded upwards) which is equal to the rate of return on a daily compound interest investment with the Daily Rate as the reference rate for the calculation of interest and calculated as follows:</w:t>
            </w:r>
          </w:p>
          <w:p w14:paraId="4C800C6C" w14:textId="76809C80" w:rsidR="00025AB4" w:rsidRPr="00025AB4" w:rsidRDefault="00681729" w:rsidP="007651B8">
            <w:pPr>
              <w:pStyle w:val="Body"/>
              <w:jc w:val="center"/>
            </w:pPr>
            <m:oMathPara>
              <m:oMath>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d</m:t>
                            </m:r>
                          </m:e>
                          <m:sub>
                            <m:r>
                              <w:rPr>
                                <w:rFonts w:ascii="Cambria Math" w:hAnsi="Cambria Math"/>
                              </w:rPr>
                              <m:t>0</m:t>
                            </m:r>
                          </m:sub>
                        </m:sSub>
                      </m:sup>
                      <m:e>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Daily Rate</m:t>
                                    </m:r>
                                  </m:e>
                                  <m:sub>
                                    <m:r>
                                      <w:rPr>
                                        <w:rFonts w:ascii="Cambria Math" w:hAnsi="Cambria Math"/>
                                      </w:rPr>
                                      <m:t xml:space="preserve">i-BD </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i</m:t>
                                    </m:r>
                                  </m:sub>
                                </m:sSub>
                              </m:num>
                              <m:den>
                                <m:r>
                                  <w:rPr>
                                    <w:rFonts w:ascii="Cambria Math" w:hAnsi="Cambria Math"/>
                                  </w:rPr>
                                  <m:t>360</m:t>
                                </m:r>
                              </m:den>
                            </m:f>
                          </m:e>
                        </m:d>
                        <m:r>
                          <w:rPr>
                            <w:rFonts w:ascii="Cambria Math" w:hAnsi="Cambria Math"/>
                          </w:rPr>
                          <m:t>-1</m:t>
                        </m:r>
                      </m:e>
                    </m:nary>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360</m:t>
                        </m:r>
                      </m:num>
                      <m:den>
                        <m:r>
                          <w:rPr>
                            <w:rFonts w:ascii="Cambria Math" w:hAnsi="Cambria Math"/>
                          </w:rPr>
                          <m:t>d</m:t>
                        </m:r>
                      </m:den>
                    </m:f>
                  </m:e>
                </m:d>
              </m:oMath>
            </m:oMathPara>
          </w:p>
        </w:tc>
      </w:tr>
      <w:tr w:rsidR="00025AB4" w:rsidRPr="001E6E87" w14:paraId="522762E8" w14:textId="77777777" w:rsidTr="007651B8">
        <w:tc>
          <w:tcPr>
            <w:tcW w:w="2410" w:type="dxa"/>
            <w:shd w:val="clear" w:color="auto" w:fill="auto"/>
          </w:tcPr>
          <w:p w14:paraId="5453F92C" w14:textId="77777777" w:rsidR="00025AB4" w:rsidRPr="007E4C66" w:rsidRDefault="00025AB4" w:rsidP="007651B8">
            <w:pPr>
              <w:pStyle w:val="Body"/>
              <w:jc w:val="left"/>
              <w:rPr>
                <w:b/>
                <w:highlight w:val="yellow"/>
              </w:rPr>
            </w:pPr>
          </w:p>
        </w:tc>
        <w:tc>
          <w:tcPr>
            <w:tcW w:w="5494" w:type="dxa"/>
            <w:shd w:val="clear" w:color="auto" w:fill="auto"/>
          </w:tcPr>
          <w:p w14:paraId="348AF6B6" w14:textId="77777777" w:rsidR="00025AB4" w:rsidRPr="007E6C4C" w:rsidRDefault="00025AB4" w:rsidP="007651B8">
            <w:pPr>
              <w:pStyle w:val="Body"/>
            </w:pPr>
            <w:r w:rsidRPr="007E6C4C">
              <w:t>where:</w:t>
            </w:r>
          </w:p>
        </w:tc>
      </w:tr>
      <w:tr w:rsidR="00025AB4" w:rsidRPr="001E6E87" w14:paraId="71AC002F" w14:textId="77777777" w:rsidTr="007651B8">
        <w:tc>
          <w:tcPr>
            <w:tcW w:w="2410" w:type="dxa"/>
            <w:shd w:val="clear" w:color="auto" w:fill="auto"/>
          </w:tcPr>
          <w:p w14:paraId="4C0A405D" w14:textId="77777777" w:rsidR="00025AB4" w:rsidRPr="007E4C66" w:rsidRDefault="00025AB4" w:rsidP="007651B8">
            <w:pPr>
              <w:pStyle w:val="Body"/>
              <w:jc w:val="left"/>
              <w:rPr>
                <w:b/>
                <w:highlight w:val="yellow"/>
              </w:rPr>
            </w:pPr>
          </w:p>
        </w:tc>
        <w:tc>
          <w:tcPr>
            <w:tcW w:w="5494" w:type="dxa"/>
            <w:shd w:val="clear" w:color="auto" w:fill="auto"/>
          </w:tcPr>
          <w:p w14:paraId="405400B5" w14:textId="77777777" w:rsidR="00025AB4" w:rsidRPr="007E6C4C" w:rsidRDefault="00025AB4" w:rsidP="007651B8">
            <w:pPr>
              <w:pStyle w:val="Body"/>
            </w:pPr>
            <w:r w:rsidRPr="007E6C4C">
              <w:t>"</w:t>
            </w:r>
            <w:r w:rsidRPr="007E6C4C">
              <w:rPr>
                <w:b/>
              </w:rPr>
              <w:t>d</w:t>
            </w:r>
            <w:r w:rsidRPr="007E6C4C">
              <w:t>" is the number of calendar days in that Interest Period;</w:t>
            </w:r>
          </w:p>
        </w:tc>
      </w:tr>
      <w:tr w:rsidR="00025AB4" w:rsidRPr="001E6E87" w14:paraId="64112D3A" w14:textId="77777777" w:rsidTr="007651B8">
        <w:tc>
          <w:tcPr>
            <w:tcW w:w="2410" w:type="dxa"/>
            <w:shd w:val="clear" w:color="auto" w:fill="auto"/>
          </w:tcPr>
          <w:p w14:paraId="6E900282" w14:textId="77777777" w:rsidR="00025AB4" w:rsidRPr="007E4C66" w:rsidRDefault="00025AB4" w:rsidP="007651B8">
            <w:pPr>
              <w:pStyle w:val="Body"/>
              <w:jc w:val="left"/>
              <w:rPr>
                <w:b/>
                <w:highlight w:val="yellow"/>
              </w:rPr>
            </w:pPr>
          </w:p>
        </w:tc>
        <w:tc>
          <w:tcPr>
            <w:tcW w:w="5494" w:type="dxa"/>
            <w:shd w:val="clear" w:color="auto" w:fill="auto"/>
          </w:tcPr>
          <w:p w14:paraId="25BD23BF" w14:textId="77777777" w:rsidR="00025AB4" w:rsidRPr="007E6C4C" w:rsidRDefault="00025AB4" w:rsidP="007651B8">
            <w:pPr>
              <w:pStyle w:val="Body"/>
            </w:pPr>
            <w:r w:rsidRPr="007E6C4C">
              <w:t>"</w:t>
            </w:r>
            <w:r w:rsidRPr="007E6C4C">
              <w:rPr>
                <w:b/>
              </w:rPr>
              <w:t>d</w:t>
            </w:r>
            <w:r w:rsidRPr="007E6C4C">
              <w:rPr>
                <w:b/>
                <w:vertAlign w:val="subscript"/>
              </w:rPr>
              <w:t>0</w:t>
            </w:r>
            <w:r w:rsidRPr="007E6C4C">
              <w:t>" is the number of US Banking Days in that Interest Period;</w:t>
            </w:r>
          </w:p>
        </w:tc>
      </w:tr>
      <w:tr w:rsidR="00025AB4" w:rsidRPr="001E6E87" w14:paraId="2C11F4A0" w14:textId="77777777" w:rsidTr="007651B8">
        <w:tc>
          <w:tcPr>
            <w:tcW w:w="2410" w:type="dxa"/>
            <w:shd w:val="clear" w:color="auto" w:fill="auto"/>
          </w:tcPr>
          <w:p w14:paraId="0200F7EB" w14:textId="77777777" w:rsidR="00025AB4" w:rsidRPr="007E4C66" w:rsidRDefault="00025AB4" w:rsidP="007651B8">
            <w:pPr>
              <w:pStyle w:val="Body"/>
              <w:jc w:val="left"/>
              <w:rPr>
                <w:b/>
                <w:highlight w:val="yellow"/>
              </w:rPr>
            </w:pPr>
          </w:p>
        </w:tc>
        <w:tc>
          <w:tcPr>
            <w:tcW w:w="5494" w:type="dxa"/>
            <w:shd w:val="clear" w:color="auto" w:fill="auto"/>
          </w:tcPr>
          <w:p w14:paraId="7A33B0C8" w14:textId="77777777" w:rsidR="00025AB4" w:rsidRPr="007E4C66" w:rsidRDefault="00025AB4" w:rsidP="007651B8">
            <w:pPr>
              <w:pStyle w:val="Body"/>
              <w:rPr>
                <w:highlight w:val="yellow"/>
              </w:rPr>
            </w:pPr>
            <w:r w:rsidRPr="007E6C4C">
              <w:t>"</w:t>
            </w:r>
            <w:r w:rsidRPr="007E6C4C">
              <w:rPr>
                <w:b/>
              </w:rPr>
              <w:t>i</w:t>
            </w:r>
            <w:r w:rsidRPr="007E6C4C">
              <w:t>" is a series of whole numbers from 1 to d</w:t>
            </w:r>
            <w:r w:rsidRPr="007E6C4C">
              <w:rPr>
                <w:vertAlign w:val="subscript"/>
              </w:rPr>
              <w:t>0</w:t>
            </w:r>
            <w:r w:rsidRPr="007E6C4C">
              <w:t>, each representing a US Banking Day in chronological order in that Interest Period;</w:t>
            </w:r>
          </w:p>
        </w:tc>
      </w:tr>
      <w:tr w:rsidR="00025AB4" w:rsidRPr="001E6E87" w14:paraId="204B3E0F" w14:textId="77777777" w:rsidTr="007651B8">
        <w:tc>
          <w:tcPr>
            <w:tcW w:w="2410" w:type="dxa"/>
            <w:shd w:val="clear" w:color="auto" w:fill="auto"/>
          </w:tcPr>
          <w:p w14:paraId="47E2745E" w14:textId="77777777" w:rsidR="00025AB4" w:rsidRPr="007E4C66" w:rsidRDefault="00025AB4" w:rsidP="007651B8">
            <w:pPr>
              <w:pStyle w:val="Body"/>
              <w:jc w:val="left"/>
              <w:rPr>
                <w:b/>
                <w:highlight w:val="yellow"/>
              </w:rPr>
            </w:pPr>
          </w:p>
        </w:tc>
        <w:tc>
          <w:tcPr>
            <w:tcW w:w="5494" w:type="dxa"/>
            <w:shd w:val="clear" w:color="auto" w:fill="auto"/>
          </w:tcPr>
          <w:p w14:paraId="5597169C" w14:textId="77777777" w:rsidR="00025AB4" w:rsidRPr="007E4C66" w:rsidRDefault="00025AB4" w:rsidP="007651B8">
            <w:pPr>
              <w:pStyle w:val="Body"/>
              <w:rPr>
                <w:highlight w:val="yellow"/>
              </w:rPr>
            </w:pPr>
            <w:r w:rsidRPr="007E6C4C">
              <w:t>"</w:t>
            </w:r>
            <w:proofErr w:type="spellStart"/>
            <w:r w:rsidRPr="007E6C4C">
              <w:rPr>
                <w:b/>
              </w:rPr>
              <w:t>n</w:t>
            </w:r>
            <w:r w:rsidRPr="007E6C4C">
              <w:rPr>
                <w:b/>
                <w:vertAlign w:val="subscript"/>
              </w:rPr>
              <w:t>i</w:t>
            </w:r>
            <w:proofErr w:type="spellEnd"/>
            <w:r w:rsidRPr="007E6C4C">
              <w:t xml:space="preserve">" for any day "i" means the number of calendar days from and including that day up to but excluding the next following US Banking Day; </w:t>
            </w:r>
          </w:p>
        </w:tc>
      </w:tr>
      <w:tr w:rsidR="00025AB4" w:rsidRPr="001E6E87" w14:paraId="2D39D1BE" w14:textId="77777777" w:rsidTr="007651B8">
        <w:tc>
          <w:tcPr>
            <w:tcW w:w="2410" w:type="dxa"/>
            <w:shd w:val="clear" w:color="auto" w:fill="auto"/>
          </w:tcPr>
          <w:p w14:paraId="019881B2" w14:textId="77777777" w:rsidR="00025AB4" w:rsidRPr="007E4C66" w:rsidRDefault="00025AB4" w:rsidP="007651B8">
            <w:pPr>
              <w:pStyle w:val="Body"/>
              <w:jc w:val="left"/>
              <w:rPr>
                <w:b/>
                <w:highlight w:val="yellow"/>
              </w:rPr>
            </w:pPr>
          </w:p>
        </w:tc>
        <w:tc>
          <w:tcPr>
            <w:tcW w:w="5494" w:type="dxa"/>
            <w:shd w:val="clear" w:color="auto" w:fill="auto"/>
          </w:tcPr>
          <w:p w14:paraId="52B43EA3" w14:textId="77777777" w:rsidR="00025AB4" w:rsidRPr="00516523" w:rsidRDefault="00025AB4" w:rsidP="007651B8">
            <w:pPr>
              <w:pStyle w:val="Body"/>
            </w:pPr>
            <w:r w:rsidRPr="00516523">
              <w:t>"</w:t>
            </w:r>
            <w:r w:rsidRPr="00516523">
              <w:rPr>
                <w:b/>
              </w:rPr>
              <w:t>Daily Rate</w:t>
            </w:r>
            <w:r w:rsidRPr="00516523">
              <w:t>" means</w:t>
            </w:r>
            <w:r>
              <w:t>:</w:t>
            </w:r>
            <w:r w:rsidRPr="00516523">
              <w:t xml:space="preserve"> </w:t>
            </w:r>
          </w:p>
          <w:p w14:paraId="67D3DD2A" w14:textId="77777777" w:rsidR="00025AB4" w:rsidRPr="00516523" w:rsidRDefault="00025AB4" w:rsidP="00025AB4">
            <w:pPr>
              <w:pStyle w:val="Level4"/>
              <w:numPr>
                <w:ilvl w:val="3"/>
                <w:numId w:val="2"/>
              </w:numPr>
              <w:tabs>
                <w:tab w:val="num" w:pos="743"/>
              </w:tabs>
            </w:pPr>
            <w:r w:rsidRPr="00516523">
              <w:t>the US Dollar Fallback Screen Rate;</w:t>
            </w:r>
          </w:p>
          <w:p w14:paraId="45D8736B" w14:textId="77777777" w:rsidR="00025AB4" w:rsidRPr="00516523" w:rsidRDefault="00025AB4" w:rsidP="007651B8">
            <w:pPr>
              <w:pStyle w:val="Level4"/>
              <w:tabs>
                <w:tab w:val="num" w:pos="743"/>
              </w:tabs>
              <w:ind w:left="743" w:hanging="709"/>
            </w:pPr>
            <w:r w:rsidRPr="00516523">
              <w:t>if the US Dollar Fallback Screen Rate is not available, the US Dollar Central Bank Rate prevailing at close of business on the relevant US Banking Day plus the mean of the spread of the US Dollar Fallback Screen Rate to the US Dollar Central Bank Rate over the previous five days on which a US Dollar Fallback Screen Rate has been published, excluding the highest spread (or if there is more than one highest spread, one only of those highest spreads) and lowest spread (or, if there is more than one lowest spread, only one of those lowest spreads) to the US Dollar Central Bank Rate; or</w:t>
            </w:r>
          </w:p>
          <w:p w14:paraId="1BD09D93" w14:textId="77777777" w:rsidR="00025AB4" w:rsidRPr="00516523" w:rsidRDefault="00025AB4" w:rsidP="007651B8">
            <w:pPr>
              <w:pStyle w:val="Level4"/>
              <w:tabs>
                <w:tab w:val="num" w:pos="743"/>
              </w:tabs>
              <w:ind w:left="743" w:hanging="709"/>
            </w:pPr>
            <w:r w:rsidRPr="00516523">
              <w:t>if that rate is not available, the last publicly available  US Dollar Central Bank Rate prior to the relevant US Banking Day plus the mean of the spread of the US Dollar Fallback Screen Rate to the  US Dollar Central Bank Rate over the previous five days on which a US Dollar Fallback Screen Rate has been published, excluding the highest spread (or if there is more than one highest spread, one only of those highest spreads) and lowest spread (or if there spread than one lowest spread, one only of those lowest spreads) to the  US Dollar Central Bank Rate; and</w:t>
            </w:r>
          </w:p>
        </w:tc>
      </w:tr>
      <w:tr w:rsidR="00025AB4" w:rsidRPr="001E6E87" w14:paraId="39EECC82" w14:textId="77777777" w:rsidTr="007651B8">
        <w:tc>
          <w:tcPr>
            <w:tcW w:w="2410" w:type="dxa"/>
            <w:shd w:val="clear" w:color="auto" w:fill="auto"/>
          </w:tcPr>
          <w:p w14:paraId="1E30287D" w14:textId="77777777" w:rsidR="00025AB4" w:rsidRPr="007E4C66" w:rsidRDefault="00025AB4" w:rsidP="007651B8">
            <w:pPr>
              <w:pStyle w:val="Body"/>
              <w:jc w:val="left"/>
              <w:rPr>
                <w:b/>
                <w:highlight w:val="yellow"/>
              </w:rPr>
            </w:pPr>
          </w:p>
        </w:tc>
        <w:tc>
          <w:tcPr>
            <w:tcW w:w="5494" w:type="dxa"/>
            <w:shd w:val="clear" w:color="auto" w:fill="auto"/>
          </w:tcPr>
          <w:p w14:paraId="388DFB4F" w14:textId="77777777" w:rsidR="00025AB4" w:rsidRPr="00516523" w:rsidRDefault="00025AB4" w:rsidP="007651B8">
            <w:pPr>
              <w:pStyle w:val="Body"/>
            </w:pPr>
            <w:r w:rsidRPr="00516523">
              <w:t>"</w:t>
            </w:r>
            <w:r w:rsidRPr="00516523">
              <w:rPr>
                <w:b/>
              </w:rPr>
              <w:t xml:space="preserve">Daily </w:t>
            </w:r>
            <w:proofErr w:type="spellStart"/>
            <w:r w:rsidRPr="00516523">
              <w:rPr>
                <w:b/>
              </w:rPr>
              <w:t>Rate</w:t>
            </w:r>
            <w:r w:rsidRPr="00516523">
              <w:rPr>
                <w:b/>
                <w:vertAlign w:val="subscript"/>
              </w:rPr>
              <w:t>i</w:t>
            </w:r>
            <w:proofErr w:type="spellEnd"/>
            <w:r w:rsidRPr="00516523">
              <w:rPr>
                <w:b/>
                <w:vertAlign w:val="subscript"/>
              </w:rPr>
              <w:t>-BD</w:t>
            </w:r>
            <w:r w:rsidRPr="00516523">
              <w:t>" means in relation to any US Banking Day falling in that Interest Period, the Daily Rate for the day which is five US Banking Days prior to that US Banking Day.</w:t>
            </w:r>
          </w:p>
        </w:tc>
      </w:tr>
      <w:tr w:rsidR="00025AB4" w:rsidRPr="001E6E87" w14:paraId="0781D5CC" w14:textId="77777777" w:rsidTr="007651B8">
        <w:tc>
          <w:tcPr>
            <w:tcW w:w="2410" w:type="dxa"/>
            <w:shd w:val="clear" w:color="auto" w:fill="auto"/>
          </w:tcPr>
          <w:p w14:paraId="192863A8" w14:textId="77777777" w:rsidR="00025AB4" w:rsidRPr="007E4C66" w:rsidRDefault="00025AB4" w:rsidP="007651B8">
            <w:pPr>
              <w:pStyle w:val="Body"/>
              <w:jc w:val="left"/>
              <w:rPr>
                <w:b/>
                <w:highlight w:val="yellow"/>
              </w:rPr>
            </w:pPr>
          </w:p>
        </w:tc>
        <w:tc>
          <w:tcPr>
            <w:tcW w:w="5494" w:type="dxa"/>
            <w:shd w:val="clear" w:color="auto" w:fill="auto"/>
          </w:tcPr>
          <w:p w14:paraId="3D83E1FF" w14:textId="77777777" w:rsidR="00025AB4" w:rsidRPr="007E4C66" w:rsidRDefault="00025AB4" w:rsidP="007651B8">
            <w:pPr>
              <w:pStyle w:val="Body"/>
              <w:rPr>
                <w:highlight w:val="yellow"/>
              </w:rPr>
            </w:pPr>
            <w:r w:rsidRPr="00516523">
              <w:t>Notwithstandin</w:t>
            </w:r>
            <w:r>
              <w:t xml:space="preserve">g the paragraphs above, if the </w:t>
            </w:r>
            <w:r w:rsidRPr="00F17E30">
              <w:t>Bank of England or the Federal Reserve Bank of New York</w:t>
            </w:r>
            <w:r w:rsidRPr="00516523">
              <w:t xml:space="preserve"> publishes guidance as to (i) how the Daily Rate is to be determined, or (ii) any rate that is to replace the Daily Rate, the Bank shall, to the extent that it is reasonably practicable, follow such guidance in order to determine the Daily Rate for the purpose of this Agreement so long as the Daily Rate is not available or has not been published by the authorised distributors.  To the extent that any amendments or modifications to the terms of this Agreement are required in order for the Bank to follow such guidance in order to determine the rate of interest on a Loan, the Bank and the Customer shall enter into negotiations in good faith (for a </w:t>
            </w:r>
            <w:r w:rsidRPr="00516523">
              <w:lastRenderedPageBreak/>
              <w:t xml:space="preserve">period of not more than thirty days) with a view to agreeing such amendments. </w:t>
            </w:r>
          </w:p>
        </w:tc>
      </w:tr>
      <w:tr w:rsidR="00025AB4" w:rsidRPr="001E6E87" w14:paraId="65E2557D" w14:textId="77777777" w:rsidTr="007651B8">
        <w:tc>
          <w:tcPr>
            <w:tcW w:w="2410" w:type="dxa"/>
            <w:shd w:val="clear" w:color="auto" w:fill="auto"/>
          </w:tcPr>
          <w:p w14:paraId="1AF3A4A4" w14:textId="77777777" w:rsidR="00025AB4" w:rsidRPr="002919E4" w:rsidRDefault="00025AB4" w:rsidP="007651B8">
            <w:pPr>
              <w:pStyle w:val="Body"/>
              <w:jc w:val="left"/>
              <w:rPr>
                <w:b/>
              </w:rPr>
            </w:pPr>
            <w:r w:rsidRPr="002919E4">
              <w:rPr>
                <w:b/>
              </w:rPr>
              <w:lastRenderedPageBreak/>
              <w:t>US Dollar Fallback Screen Rate</w:t>
            </w:r>
            <w:r w:rsidRPr="002919E4">
              <w:t>:</w:t>
            </w:r>
          </w:p>
        </w:tc>
        <w:tc>
          <w:tcPr>
            <w:tcW w:w="5494" w:type="dxa"/>
            <w:shd w:val="clear" w:color="auto" w:fill="auto"/>
          </w:tcPr>
          <w:p w14:paraId="0FFFDD88" w14:textId="77777777" w:rsidR="00025AB4" w:rsidRPr="002919E4" w:rsidRDefault="00025AB4" w:rsidP="007651B8">
            <w:pPr>
              <w:pStyle w:val="Body"/>
            </w:pPr>
            <w:r w:rsidRPr="002919E4">
              <w:t>SOFR, administered by the Federal Reserve Bank of New York (or any other person which takes over the administration of that rate) published (before any correction, recalculation or republication by the administrator) by the Federal Reserve Bank of New York (or any other person which takes over the publication of that rate).</w:t>
            </w:r>
          </w:p>
        </w:tc>
      </w:tr>
      <w:tr w:rsidR="00025AB4" w:rsidRPr="001E6E87" w14:paraId="108BC205" w14:textId="77777777" w:rsidTr="007651B8">
        <w:tc>
          <w:tcPr>
            <w:tcW w:w="2410" w:type="dxa"/>
            <w:shd w:val="clear" w:color="auto" w:fill="auto"/>
          </w:tcPr>
          <w:p w14:paraId="36F68742" w14:textId="77777777" w:rsidR="00025AB4" w:rsidRPr="002919E4" w:rsidRDefault="00025AB4" w:rsidP="007651B8">
            <w:pPr>
              <w:pStyle w:val="Body"/>
              <w:jc w:val="left"/>
              <w:rPr>
                <w:b/>
              </w:rPr>
            </w:pPr>
            <w:r w:rsidRPr="002919E4">
              <w:rPr>
                <w:b/>
              </w:rPr>
              <w:t>US Dollar Primary Screen Rate</w:t>
            </w:r>
            <w:r w:rsidRPr="002919E4">
              <w:t>:</w:t>
            </w:r>
          </w:p>
        </w:tc>
        <w:tc>
          <w:tcPr>
            <w:tcW w:w="5494" w:type="dxa"/>
            <w:shd w:val="clear" w:color="auto" w:fill="auto"/>
          </w:tcPr>
          <w:p w14:paraId="2AAFC991" w14:textId="77777777" w:rsidR="00025AB4" w:rsidRPr="002919E4" w:rsidRDefault="00025AB4" w:rsidP="007651B8">
            <w:pPr>
              <w:pStyle w:val="Body"/>
            </w:pPr>
            <w:r w:rsidRPr="002919E4">
              <w:t xml:space="preserve">Any publicly available rate specified by the Bank (before any correction, recalculation or republication by its administrator following its initial publication) which: </w:t>
            </w:r>
          </w:p>
          <w:p w14:paraId="34D48A4E" w14:textId="77777777" w:rsidR="00025AB4" w:rsidRPr="002919E4" w:rsidRDefault="00025AB4" w:rsidP="00650BE2">
            <w:pPr>
              <w:pStyle w:val="Level4"/>
              <w:numPr>
                <w:ilvl w:val="3"/>
                <w:numId w:val="19"/>
              </w:numPr>
            </w:pPr>
            <w:r w:rsidRPr="002919E4">
              <w:t>is constituted primarily by the daily compounding of SOFR over a period and uses a compounding methodology which is the same as that specified in this Agreement for the calculation of the US Dollar Fallback Compounded Rate;</w:t>
            </w:r>
          </w:p>
          <w:p w14:paraId="58CAA8E0" w14:textId="77777777" w:rsidR="00025AB4" w:rsidRPr="002919E4" w:rsidRDefault="00025AB4" w:rsidP="007651B8">
            <w:pPr>
              <w:pStyle w:val="Level4"/>
              <w:tabs>
                <w:tab w:val="num" w:pos="742"/>
              </w:tabs>
              <w:ind w:left="742" w:hanging="742"/>
            </w:pPr>
            <w:r w:rsidRPr="002919E4">
              <w:t>is produced by an administrator; and</w:t>
            </w:r>
          </w:p>
          <w:p w14:paraId="71BD91B5" w14:textId="77777777" w:rsidR="00025AB4" w:rsidRPr="002919E4" w:rsidRDefault="00025AB4" w:rsidP="007651B8">
            <w:pPr>
              <w:pStyle w:val="Level4"/>
              <w:tabs>
                <w:tab w:val="num" w:pos="742"/>
              </w:tabs>
              <w:ind w:left="742" w:hanging="742"/>
            </w:pPr>
            <w:r w:rsidRPr="002919E4">
              <w:t>is made available no later than the last day of the Observation Period to which it relates.</w:t>
            </w:r>
          </w:p>
        </w:tc>
      </w:tr>
      <w:tr w:rsidR="00025AB4" w:rsidRPr="001E6E87" w14:paraId="2E9EB20C" w14:textId="77777777" w:rsidTr="007651B8">
        <w:tc>
          <w:tcPr>
            <w:tcW w:w="2410" w:type="dxa"/>
            <w:shd w:val="clear" w:color="auto" w:fill="auto"/>
          </w:tcPr>
          <w:p w14:paraId="5C9EF7A1" w14:textId="77777777" w:rsidR="00025AB4" w:rsidRPr="002919E4" w:rsidRDefault="00025AB4" w:rsidP="007651B8">
            <w:pPr>
              <w:pStyle w:val="Body"/>
              <w:jc w:val="left"/>
              <w:rPr>
                <w:b/>
              </w:rPr>
            </w:pPr>
            <w:r w:rsidRPr="002919E4">
              <w:rPr>
                <w:b/>
              </w:rPr>
              <w:t>US Dollar Relevant Reference Rate</w:t>
            </w:r>
            <w:r w:rsidRPr="000B24CA">
              <w:t>:</w:t>
            </w:r>
          </w:p>
        </w:tc>
        <w:tc>
          <w:tcPr>
            <w:tcW w:w="5494" w:type="dxa"/>
            <w:shd w:val="clear" w:color="auto" w:fill="auto"/>
          </w:tcPr>
          <w:p w14:paraId="598ED612" w14:textId="77777777" w:rsidR="00025AB4" w:rsidRDefault="00025AB4" w:rsidP="00650BE2">
            <w:pPr>
              <w:pStyle w:val="Level4"/>
              <w:numPr>
                <w:ilvl w:val="3"/>
                <w:numId w:val="20"/>
              </w:numPr>
            </w:pPr>
            <w:r w:rsidRPr="002919E4">
              <w:t>The US Dollar Primary Screen Rate for the Interest Period; or</w:t>
            </w:r>
          </w:p>
          <w:p w14:paraId="57B750AC" w14:textId="77777777" w:rsidR="00025AB4" w:rsidRPr="002919E4" w:rsidRDefault="00025AB4" w:rsidP="00025AB4">
            <w:pPr>
              <w:pStyle w:val="Level4"/>
              <w:numPr>
                <w:ilvl w:val="3"/>
                <w:numId w:val="2"/>
              </w:numPr>
              <w:tabs>
                <w:tab w:val="num" w:pos="742"/>
              </w:tabs>
              <w:ind w:left="742" w:hanging="742"/>
            </w:pPr>
            <w:r>
              <w:t>i</w:t>
            </w:r>
            <w:r w:rsidRPr="002919E4">
              <w:t xml:space="preserve">f there is no US Dollar Primary Screen Rate, or if no US Dollar Primary Screen Rate is available for the Interest Period, the US Dollar Fallback Compounded Rate. </w:t>
            </w:r>
          </w:p>
        </w:tc>
      </w:tr>
    </w:tbl>
    <w:p w14:paraId="2EF4A060" w14:textId="77777777" w:rsidR="009B6F84" w:rsidRDefault="009B6F84" w:rsidP="009B6F84">
      <w:pPr>
        <w:suppressAutoHyphens w:val="0"/>
        <w:autoSpaceDE/>
        <w:ind w:left="3261"/>
        <w:rPr>
          <w:rFonts w:eastAsia="Times New Roman"/>
          <w:lang w:eastAsia="en-GB"/>
        </w:rPr>
      </w:pPr>
      <w:r>
        <w:rPr>
          <w:rFonts w:cs="Times New Roman"/>
          <w:bCs/>
        </w:rPr>
        <w:t>Where the US Dollar Relevant Reference Rate is below zero, it will be deemed to be zero.</w:t>
      </w:r>
    </w:p>
    <w:p w14:paraId="2C484E9D" w14:textId="77777777" w:rsidR="00EE1A65" w:rsidRDefault="00EE1A65"/>
    <w:sectPr w:rsidR="00EE1A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7C8E0" w14:textId="77777777" w:rsidR="00193E7F" w:rsidRDefault="00193E7F" w:rsidP="00193E7F">
      <w:r>
        <w:separator/>
      </w:r>
    </w:p>
  </w:endnote>
  <w:endnote w:type="continuationSeparator" w:id="0">
    <w:p w14:paraId="42803766" w14:textId="77777777" w:rsidR="00193E7F" w:rsidRDefault="00193E7F" w:rsidP="0019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4DEF" w14:textId="77777777" w:rsidR="00193E7F" w:rsidRDefault="00193E7F" w:rsidP="00193E7F">
      <w:r>
        <w:separator/>
      </w:r>
    </w:p>
  </w:footnote>
  <w:footnote w:type="continuationSeparator" w:id="0">
    <w:p w14:paraId="0F2E4C6A" w14:textId="77777777" w:rsidR="00193E7F" w:rsidRDefault="00193E7F" w:rsidP="00193E7F">
      <w:r>
        <w:continuationSeparator/>
      </w:r>
    </w:p>
  </w:footnote>
  <w:footnote w:id="1">
    <w:p w14:paraId="19214EDA" w14:textId="3FA9F137" w:rsidR="00025AB4" w:rsidRPr="00E03840" w:rsidRDefault="00025AB4" w:rsidP="00025AB4">
      <w:pPr>
        <w:pStyle w:val="FootnoteTex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CD540C0"/>
    <w:multiLevelType w:val="hybridMultilevel"/>
    <w:tmpl w:val="2B26B63C"/>
    <w:lvl w:ilvl="0" w:tplc="07FA7FC8">
      <w:start w:val="1"/>
      <w:numFmt w:val="lowerLetter"/>
      <w:lvlText w:val="(%1)"/>
      <w:lvlJc w:val="left"/>
      <w:pPr>
        <w:ind w:left="3621" w:hanging="360"/>
      </w:pPr>
    </w:lvl>
    <w:lvl w:ilvl="1" w:tplc="08090019">
      <w:start w:val="1"/>
      <w:numFmt w:val="lowerLetter"/>
      <w:lvlText w:val="%2."/>
      <w:lvlJc w:val="left"/>
      <w:pPr>
        <w:ind w:left="4341" w:hanging="360"/>
      </w:pPr>
    </w:lvl>
    <w:lvl w:ilvl="2" w:tplc="0809001B">
      <w:start w:val="1"/>
      <w:numFmt w:val="lowerRoman"/>
      <w:lvlText w:val="%3."/>
      <w:lvlJc w:val="right"/>
      <w:pPr>
        <w:ind w:left="5061" w:hanging="180"/>
      </w:pPr>
    </w:lvl>
    <w:lvl w:ilvl="3" w:tplc="0809000F">
      <w:start w:val="1"/>
      <w:numFmt w:val="decimal"/>
      <w:lvlText w:val="%4."/>
      <w:lvlJc w:val="left"/>
      <w:pPr>
        <w:ind w:left="5781" w:hanging="360"/>
      </w:pPr>
    </w:lvl>
    <w:lvl w:ilvl="4" w:tplc="08090019">
      <w:start w:val="1"/>
      <w:numFmt w:val="lowerLetter"/>
      <w:lvlText w:val="%5."/>
      <w:lvlJc w:val="left"/>
      <w:pPr>
        <w:ind w:left="6501" w:hanging="360"/>
      </w:pPr>
    </w:lvl>
    <w:lvl w:ilvl="5" w:tplc="0809001B">
      <w:start w:val="1"/>
      <w:numFmt w:val="lowerRoman"/>
      <w:lvlText w:val="%6."/>
      <w:lvlJc w:val="right"/>
      <w:pPr>
        <w:ind w:left="7221" w:hanging="180"/>
      </w:pPr>
    </w:lvl>
    <w:lvl w:ilvl="6" w:tplc="0809000F">
      <w:start w:val="1"/>
      <w:numFmt w:val="decimal"/>
      <w:lvlText w:val="%7."/>
      <w:lvlJc w:val="left"/>
      <w:pPr>
        <w:ind w:left="7941" w:hanging="360"/>
      </w:pPr>
    </w:lvl>
    <w:lvl w:ilvl="7" w:tplc="08090019">
      <w:start w:val="1"/>
      <w:numFmt w:val="lowerLetter"/>
      <w:lvlText w:val="%8."/>
      <w:lvlJc w:val="left"/>
      <w:pPr>
        <w:ind w:left="8661" w:hanging="360"/>
      </w:pPr>
    </w:lvl>
    <w:lvl w:ilvl="8" w:tplc="0809001B">
      <w:start w:val="1"/>
      <w:numFmt w:val="lowerRoman"/>
      <w:lvlText w:val="%9."/>
      <w:lvlJc w:val="right"/>
      <w:pPr>
        <w:ind w:left="9381" w:hanging="180"/>
      </w:pPr>
    </w:lvl>
  </w:abstractNum>
  <w:num w:numId="1" w16cid:durableId="290015834">
    <w:abstractNumId w:val="0"/>
  </w:num>
  <w:num w:numId="2" w16cid:durableId="1582908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5734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7854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6170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5736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7223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9029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1239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2642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2946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8756342">
    <w:abstractNumId w:val="0"/>
  </w:num>
  <w:num w:numId="13" w16cid:durableId="713967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1670009">
    <w:abstractNumId w:val="0"/>
  </w:num>
  <w:num w:numId="15" w16cid:durableId="188027853">
    <w:abstractNumId w:val="0"/>
  </w:num>
  <w:num w:numId="16" w16cid:durableId="112017970">
    <w:abstractNumId w:val="1"/>
  </w:num>
  <w:num w:numId="17" w16cid:durableId="1179927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7674074">
    <w:abstractNumId w:val="0"/>
  </w:num>
  <w:num w:numId="19" w16cid:durableId="2061006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042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940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7F"/>
    <w:rsid w:val="00025AB4"/>
    <w:rsid w:val="00193E7F"/>
    <w:rsid w:val="00650BE2"/>
    <w:rsid w:val="00681729"/>
    <w:rsid w:val="008D3A05"/>
    <w:rsid w:val="009B6F84"/>
    <w:rsid w:val="009E62D8"/>
    <w:rsid w:val="00B26634"/>
    <w:rsid w:val="00B43CFE"/>
    <w:rsid w:val="00DE0695"/>
    <w:rsid w:val="00EE1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7EC2"/>
  <w15:chartTrackingRefBased/>
  <w15:docId w15:val="{8CF81540-DE46-4C43-B869-36399C0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E7F"/>
    <w:pPr>
      <w:suppressAutoHyphens/>
      <w:autoSpaceDE w:val="0"/>
      <w:autoSpaceDN w:val="0"/>
      <w:spacing w:after="0" w:line="240" w:lineRule="auto"/>
      <w:jc w:val="both"/>
    </w:pPr>
    <w:rPr>
      <w:rFonts w:ascii="Arial" w:eastAsia="MS Mincho" w:hAnsi="Arial" w:cs="Arial"/>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93E7F"/>
    <w:pPr>
      <w:autoSpaceDE/>
      <w:autoSpaceDN/>
    </w:pPr>
    <w:rPr>
      <w:rFonts w:cs="Times New Roman"/>
      <w:lang w:eastAsia="en-US"/>
    </w:rPr>
  </w:style>
  <w:style w:type="character" w:customStyle="1" w:styleId="FootnoteTextChar">
    <w:name w:val="Footnote Text Char"/>
    <w:basedOn w:val="DefaultParagraphFont"/>
    <w:link w:val="FootnoteText"/>
    <w:semiHidden/>
    <w:rsid w:val="00193E7F"/>
    <w:rPr>
      <w:rFonts w:ascii="Arial" w:eastAsia="MS Mincho" w:hAnsi="Arial" w:cs="Times New Roman"/>
      <w:sz w:val="20"/>
      <w:szCs w:val="20"/>
    </w:rPr>
  </w:style>
  <w:style w:type="character" w:styleId="FootnoteReference">
    <w:name w:val="footnote reference"/>
    <w:semiHidden/>
    <w:rsid w:val="00193E7F"/>
    <w:rPr>
      <w:vertAlign w:val="superscript"/>
    </w:rPr>
  </w:style>
  <w:style w:type="paragraph" w:customStyle="1" w:styleId="Body">
    <w:name w:val="Body"/>
    <w:basedOn w:val="Normal"/>
    <w:uiPriority w:val="99"/>
    <w:rsid w:val="00193E7F"/>
    <w:pPr>
      <w:suppressAutoHyphens w:val="0"/>
      <w:autoSpaceDE/>
      <w:autoSpaceDN/>
      <w:adjustRightInd w:val="0"/>
      <w:spacing w:after="240"/>
    </w:pPr>
    <w:rPr>
      <w:rFonts w:eastAsia="Arial"/>
      <w:lang w:eastAsia="en-GB"/>
    </w:rPr>
  </w:style>
  <w:style w:type="paragraph" w:customStyle="1" w:styleId="Level1">
    <w:name w:val="Level 1"/>
    <w:basedOn w:val="Normal"/>
    <w:uiPriority w:val="99"/>
    <w:rsid w:val="00193E7F"/>
    <w:pPr>
      <w:numPr>
        <w:numId w:val="12"/>
      </w:numPr>
      <w:suppressAutoHyphens w:val="0"/>
      <w:autoSpaceDE/>
      <w:autoSpaceDN/>
      <w:adjustRightInd w:val="0"/>
      <w:spacing w:after="240"/>
      <w:outlineLvl w:val="0"/>
    </w:pPr>
    <w:rPr>
      <w:rFonts w:eastAsia="Arial"/>
      <w:lang w:eastAsia="en-GB"/>
    </w:rPr>
  </w:style>
  <w:style w:type="paragraph" w:customStyle="1" w:styleId="Level2">
    <w:name w:val="Level 2"/>
    <w:basedOn w:val="Normal"/>
    <w:uiPriority w:val="99"/>
    <w:rsid w:val="00193E7F"/>
    <w:pPr>
      <w:numPr>
        <w:ilvl w:val="1"/>
        <w:numId w:val="12"/>
      </w:numPr>
      <w:suppressAutoHyphens w:val="0"/>
      <w:autoSpaceDE/>
      <w:autoSpaceDN/>
      <w:adjustRightInd w:val="0"/>
      <w:spacing w:after="240"/>
      <w:outlineLvl w:val="1"/>
    </w:pPr>
    <w:rPr>
      <w:rFonts w:eastAsia="Arial"/>
      <w:lang w:eastAsia="en-GB"/>
    </w:rPr>
  </w:style>
  <w:style w:type="paragraph" w:customStyle="1" w:styleId="Level3">
    <w:name w:val="Level 3"/>
    <w:basedOn w:val="Normal"/>
    <w:uiPriority w:val="99"/>
    <w:rsid w:val="00193E7F"/>
    <w:pPr>
      <w:numPr>
        <w:ilvl w:val="2"/>
        <w:numId w:val="12"/>
      </w:numPr>
      <w:suppressAutoHyphens w:val="0"/>
      <w:autoSpaceDE/>
      <w:autoSpaceDN/>
      <w:adjustRightInd w:val="0"/>
      <w:spacing w:after="240"/>
      <w:outlineLvl w:val="2"/>
    </w:pPr>
    <w:rPr>
      <w:rFonts w:eastAsia="Arial"/>
      <w:lang w:eastAsia="en-GB"/>
    </w:rPr>
  </w:style>
  <w:style w:type="paragraph" w:customStyle="1" w:styleId="Level4">
    <w:name w:val="Level 4"/>
    <w:basedOn w:val="Normal"/>
    <w:uiPriority w:val="99"/>
    <w:rsid w:val="00193E7F"/>
    <w:pPr>
      <w:numPr>
        <w:ilvl w:val="3"/>
        <w:numId w:val="12"/>
      </w:numPr>
      <w:suppressAutoHyphens w:val="0"/>
      <w:autoSpaceDE/>
      <w:autoSpaceDN/>
      <w:adjustRightInd w:val="0"/>
      <w:spacing w:after="240"/>
      <w:outlineLvl w:val="3"/>
    </w:pPr>
    <w:rPr>
      <w:rFonts w:eastAsia="Arial"/>
      <w:lang w:eastAsia="en-GB"/>
    </w:rPr>
  </w:style>
  <w:style w:type="paragraph" w:customStyle="1" w:styleId="Level5">
    <w:name w:val="Level 5"/>
    <w:basedOn w:val="Normal"/>
    <w:uiPriority w:val="99"/>
    <w:rsid w:val="00193E7F"/>
    <w:pPr>
      <w:numPr>
        <w:ilvl w:val="4"/>
        <w:numId w:val="12"/>
      </w:numPr>
      <w:suppressAutoHyphens w:val="0"/>
      <w:autoSpaceDE/>
      <w:autoSpaceDN/>
      <w:adjustRightInd w:val="0"/>
      <w:spacing w:after="240"/>
      <w:outlineLvl w:val="4"/>
    </w:pPr>
    <w:rPr>
      <w:rFonts w:eastAsia="Arial"/>
      <w:lang w:eastAsia="en-GB"/>
    </w:rPr>
  </w:style>
  <w:style w:type="paragraph" w:customStyle="1" w:styleId="Level6">
    <w:name w:val="Level 6"/>
    <w:basedOn w:val="Normal"/>
    <w:uiPriority w:val="99"/>
    <w:rsid w:val="00193E7F"/>
    <w:pPr>
      <w:numPr>
        <w:ilvl w:val="5"/>
        <w:numId w:val="12"/>
      </w:numPr>
      <w:suppressAutoHyphens w:val="0"/>
      <w:autoSpaceDE/>
      <w:autoSpaceDN/>
      <w:adjustRightInd w:val="0"/>
      <w:spacing w:after="240"/>
      <w:outlineLvl w:val="5"/>
    </w:pPr>
    <w:rPr>
      <w:rFonts w:eastAsia="Arial"/>
      <w:lang w:eastAsia="en-GB"/>
    </w:rPr>
  </w:style>
  <w:style w:type="paragraph" w:styleId="BalloonText">
    <w:name w:val="Balloon Text"/>
    <w:basedOn w:val="Normal"/>
    <w:link w:val="BalloonTextChar"/>
    <w:uiPriority w:val="99"/>
    <w:semiHidden/>
    <w:unhideWhenUsed/>
    <w:rsid w:val="008D3A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A05"/>
    <w:rPr>
      <w:rFonts w:ascii="Segoe UI" w:eastAsia="MS Mincho" w:hAnsi="Segoe UI" w:cs="Segoe UI"/>
      <w:sz w:val="18"/>
      <w:szCs w:val="18"/>
      <w:lang w:eastAsia="ja-JP"/>
    </w:rPr>
  </w:style>
  <w:style w:type="paragraph" w:styleId="ListParagraph">
    <w:name w:val="List Paragraph"/>
    <w:basedOn w:val="Normal"/>
    <w:uiPriority w:val="34"/>
    <w:qFormat/>
    <w:rsid w:val="008D3A05"/>
    <w:pPr>
      <w:ind w:left="720"/>
      <w:contextualSpacing/>
    </w:pPr>
  </w:style>
  <w:style w:type="paragraph" w:styleId="Revision">
    <w:name w:val="Revision"/>
    <w:hidden/>
    <w:uiPriority w:val="99"/>
    <w:semiHidden/>
    <w:rsid w:val="00681729"/>
    <w:pPr>
      <w:spacing w:after="0" w:line="240" w:lineRule="auto"/>
    </w:pPr>
    <w:rPr>
      <w:rFonts w:ascii="Arial" w:eastAsia="MS Mincho" w:hAnsi="Arial" w:cs="Arial"/>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4256">
      <w:bodyDiv w:val="1"/>
      <w:marLeft w:val="0"/>
      <w:marRight w:val="0"/>
      <w:marTop w:val="0"/>
      <w:marBottom w:val="0"/>
      <w:divBdr>
        <w:top w:val="none" w:sz="0" w:space="0" w:color="auto"/>
        <w:left w:val="none" w:sz="0" w:space="0" w:color="auto"/>
        <w:bottom w:val="none" w:sz="0" w:space="0" w:color="auto"/>
        <w:right w:val="none" w:sz="0" w:space="0" w:color="auto"/>
      </w:divBdr>
    </w:div>
    <w:div w:id="263612249">
      <w:bodyDiv w:val="1"/>
      <w:marLeft w:val="0"/>
      <w:marRight w:val="0"/>
      <w:marTop w:val="0"/>
      <w:marBottom w:val="0"/>
      <w:divBdr>
        <w:top w:val="none" w:sz="0" w:space="0" w:color="auto"/>
        <w:left w:val="none" w:sz="0" w:space="0" w:color="auto"/>
        <w:bottom w:val="none" w:sz="0" w:space="0" w:color="auto"/>
        <w:right w:val="none" w:sz="0" w:space="0" w:color="auto"/>
      </w:divBdr>
    </w:div>
    <w:div w:id="850490957">
      <w:bodyDiv w:val="1"/>
      <w:marLeft w:val="0"/>
      <w:marRight w:val="0"/>
      <w:marTop w:val="0"/>
      <w:marBottom w:val="0"/>
      <w:divBdr>
        <w:top w:val="none" w:sz="0" w:space="0" w:color="auto"/>
        <w:left w:val="none" w:sz="0" w:space="0" w:color="auto"/>
        <w:bottom w:val="none" w:sz="0" w:space="0" w:color="auto"/>
        <w:right w:val="none" w:sz="0" w:space="0" w:color="auto"/>
      </w:divBdr>
    </w:div>
    <w:div w:id="1071778813">
      <w:bodyDiv w:val="1"/>
      <w:marLeft w:val="0"/>
      <w:marRight w:val="0"/>
      <w:marTop w:val="0"/>
      <w:marBottom w:val="0"/>
      <w:divBdr>
        <w:top w:val="none" w:sz="0" w:space="0" w:color="auto"/>
        <w:left w:val="none" w:sz="0" w:space="0" w:color="auto"/>
        <w:bottom w:val="none" w:sz="0" w:space="0" w:color="auto"/>
        <w:right w:val="none" w:sz="0" w:space="0" w:color="auto"/>
      </w:divBdr>
    </w:div>
    <w:div w:id="18345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Vicky (Lending Product Franchise )</dc:creator>
  <cp:keywords/>
  <dc:description/>
  <cp:lastModifiedBy>Phillips, Amanda (Lending Product Franchise )</cp:lastModifiedBy>
  <cp:revision>4</cp:revision>
  <dcterms:created xsi:type="dcterms:W3CDTF">2022-11-14T09:55:00Z</dcterms:created>
  <dcterms:modified xsi:type="dcterms:W3CDTF">2023-02-23T08:35:00Z</dcterms:modified>
</cp:coreProperties>
</file>